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62" w:rsidRDefault="00237962" w:rsidP="0023796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237962" w:rsidRDefault="00237962" w:rsidP="00237962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237962" w:rsidRDefault="00237962" w:rsidP="00237962">
      <w:pPr>
        <w:jc w:val="center"/>
        <w:rPr>
          <w:b/>
          <w:sz w:val="32"/>
          <w:szCs w:val="32"/>
        </w:rPr>
      </w:pPr>
    </w:p>
    <w:p w:rsidR="00237962" w:rsidRDefault="00237962" w:rsidP="0023796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7962" w:rsidRDefault="00237962" w:rsidP="00237962">
      <w:pPr>
        <w:jc w:val="center"/>
        <w:outlineLvl w:val="0"/>
        <w:rPr>
          <w:b/>
          <w:sz w:val="32"/>
          <w:szCs w:val="32"/>
        </w:rPr>
      </w:pPr>
    </w:p>
    <w:p w:rsidR="00237962" w:rsidRDefault="00237962" w:rsidP="0023796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237962" w:rsidRDefault="00237962" w:rsidP="00237962">
      <w:pPr>
        <w:jc w:val="center"/>
      </w:pPr>
    </w:p>
    <w:p w:rsidR="00237962" w:rsidRDefault="00237962" w:rsidP="002379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237962" w:rsidRDefault="00237962" w:rsidP="00237962">
      <w:pPr>
        <w:pStyle w:val="a3"/>
        <w:jc w:val="center"/>
        <w:rPr>
          <w:sz w:val="28"/>
          <w:szCs w:val="28"/>
        </w:rPr>
      </w:pPr>
    </w:p>
    <w:p w:rsidR="00237962" w:rsidRDefault="00237962" w:rsidP="00237962">
      <w:pPr>
        <w:pStyle w:val="a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Об утверждении Положения об осуществлении мониторинга </w:t>
      </w:r>
      <w:proofErr w:type="spellStart"/>
      <w:r>
        <w:rPr>
          <w:kern w:val="36"/>
          <w:sz w:val="28"/>
          <w:szCs w:val="28"/>
        </w:rPr>
        <w:t>правоприменения</w:t>
      </w:r>
      <w:proofErr w:type="spellEnd"/>
      <w:r>
        <w:rPr>
          <w:kern w:val="36"/>
          <w:sz w:val="28"/>
          <w:szCs w:val="28"/>
        </w:rPr>
        <w:t xml:space="preserve"> на территории муниципального образования рабочего поселка</w:t>
      </w:r>
      <w:proofErr w:type="gramStart"/>
      <w:r>
        <w:rPr>
          <w:kern w:val="36"/>
          <w:sz w:val="28"/>
          <w:szCs w:val="28"/>
        </w:rPr>
        <w:t xml:space="preserve"> Ч</w:t>
      </w:r>
      <w:proofErr w:type="gramEnd"/>
      <w:r>
        <w:rPr>
          <w:kern w:val="36"/>
          <w:sz w:val="28"/>
          <w:szCs w:val="28"/>
        </w:rPr>
        <w:t xml:space="preserve">ик </w:t>
      </w:r>
      <w:proofErr w:type="spellStart"/>
      <w:r>
        <w:rPr>
          <w:kern w:val="36"/>
          <w:sz w:val="28"/>
          <w:szCs w:val="28"/>
        </w:rPr>
        <w:t>Коченевского</w:t>
      </w:r>
      <w:proofErr w:type="spellEnd"/>
      <w:r>
        <w:rPr>
          <w:kern w:val="36"/>
          <w:sz w:val="28"/>
          <w:szCs w:val="28"/>
        </w:rPr>
        <w:t xml:space="preserve"> района Новосибирской области</w:t>
      </w:r>
    </w:p>
    <w:p w:rsidR="00237962" w:rsidRDefault="00237962" w:rsidP="00237962">
      <w:pPr>
        <w:pStyle w:val="a3"/>
        <w:jc w:val="center"/>
        <w:rPr>
          <w:kern w:val="36"/>
        </w:rPr>
      </w:pPr>
    </w:p>
    <w:p w:rsidR="00237962" w:rsidRDefault="00237962" w:rsidP="002379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 соответствии с Указом Президента РФ от 20.05.2011 № 657 «О мониторинге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в Российской Федерации», федеральными законами от 25.12.2008 № 273- 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Федерации», Уставом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рабочего поселка Чик</w:t>
      </w:r>
    </w:p>
    <w:p w:rsidR="00237962" w:rsidRDefault="00237962" w:rsidP="002379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7962" w:rsidRDefault="00237962" w:rsidP="00237962">
      <w:pPr>
        <w:pStyle w:val="a3"/>
        <w:ind w:firstLine="851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kern w:val="36"/>
          <w:sz w:val="28"/>
          <w:szCs w:val="28"/>
        </w:rPr>
        <w:t xml:space="preserve">Положение об осуществлении мониторинга </w:t>
      </w:r>
      <w:proofErr w:type="spellStart"/>
      <w:r>
        <w:rPr>
          <w:kern w:val="36"/>
          <w:sz w:val="28"/>
          <w:szCs w:val="28"/>
        </w:rPr>
        <w:t>правоприменения</w:t>
      </w:r>
      <w:proofErr w:type="spellEnd"/>
      <w:r>
        <w:rPr>
          <w:kern w:val="36"/>
          <w:sz w:val="28"/>
          <w:szCs w:val="28"/>
        </w:rPr>
        <w:t xml:space="preserve"> на территории муниципального образования рабочего поселка</w:t>
      </w:r>
      <w:proofErr w:type="gramStart"/>
      <w:r>
        <w:rPr>
          <w:kern w:val="36"/>
          <w:sz w:val="28"/>
          <w:szCs w:val="28"/>
        </w:rPr>
        <w:t xml:space="preserve"> Ч</w:t>
      </w:r>
      <w:proofErr w:type="gramEnd"/>
      <w:r>
        <w:rPr>
          <w:kern w:val="36"/>
          <w:sz w:val="28"/>
          <w:szCs w:val="28"/>
        </w:rPr>
        <w:t xml:space="preserve">ик </w:t>
      </w:r>
      <w:proofErr w:type="spellStart"/>
      <w:r>
        <w:rPr>
          <w:kern w:val="36"/>
          <w:sz w:val="28"/>
          <w:szCs w:val="28"/>
        </w:rPr>
        <w:t>Коченевского</w:t>
      </w:r>
      <w:proofErr w:type="spellEnd"/>
      <w:r>
        <w:rPr>
          <w:kern w:val="36"/>
          <w:sz w:val="28"/>
          <w:szCs w:val="28"/>
        </w:rPr>
        <w:t xml:space="preserve"> района Новосибирской области.</w:t>
      </w:r>
    </w:p>
    <w:p w:rsidR="00237962" w:rsidRDefault="00237962" w:rsidP="002379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237962" w:rsidRDefault="00237962" w:rsidP="00237962">
      <w:pPr>
        <w:pStyle w:val="a3"/>
        <w:ind w:firstLine="851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 Постановление  вступает в силу после официального опубликования.</w:t>
      </w:r>
    </w:p>
    <w:p w:rsidR="00237962" w:rsidRDefault="00237962" w:rsidP="0023796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37962" w:rsidRDefault="00237962" w:rsidP="0023796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37962" w:rsidRDefault="00237962" w:rsidP="0023796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237962" w:rsidRDefault="00237962" w:rsidP="00237962">
      <w:pPr>
        <w:pStyle w:val="a3"/>
        <w:spacing w:line="240" w:lineRule="exact"/>
        <w:ind w:left="567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Утверждено</w:t>
      </w:r>
    </w:p>
    <w:p w:rsidR="00237962" w:rsidRDefault="00237962" w:rsidP="00237962">
      <w:pPr>
        <w:pStyle w:val="a3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237962" w:rsidRDefault="00237962" w:rsidP="00237962">
      <w:pPr>
        <w:pStyle w:val="a3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237962" w:rsidRDefault="00237962" w:rsidP="00237962">
      <w:pPr>
        <w:pStyle w:val="a3"/>
        <w:jc w:val="both"/>
        <w:rPr>
          <w:b/>
          <w:bCs/>
        </w:rPr>
      </w:pPr>
      <w:bookmarkStart w:id="0" w:name="_GoBack"/>
      <w:bookmarkEnd w:id="0"/>
    </w:p>
    <w:p w:rsidR="00237962" w:rsidRDefault="00237962" w:rsidP="00237962">
      <w:pPr>
        <w:pStyle w:val="a3"/>
        <w:jc w:val="center"/>
        <w:rPr>
          <w:bCs/>
        </w:rPr>
      </w:pPr>
    </w:p>
    <w:p w:rsidR="00237962" w:rsidRDefault="00237962" w:rsidP="00237962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37962" w:rsidRDefault="00237962" w:rsidP="00237962">
      <w:pPr>
        <w:pStyle w:val="a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об осуществлении мониторинга </w:t>
      </w:r>
      <w:proofErr w:type="spellStart"/>
      <w:r>
        <w:rPr>
          <w:kern w:val="36"/>
          <w:sz w:val="28"/>
          <w:szCs w:val="28"/>
        </w:rPr>
        <w:t>правоприменения</w:t>
      </w:r>
      <w:proofErr w:type="spellEnd"/>
      <w:r>
        <w:rPr>
          <w:kern w:val="36"/>
          <w:sz w:val="28"/>
          <w:szCs w:val="28"/>
        </w:rPr>
        <w:t xml:space="preserve"> на территории муниципального образования рабочего поселка</w:t>
      </w:r>
      <w:proofErr w:type="gramStart"/>
      <w:r>
        <w:rPr>
          <w:kern w:val="36"/>
          <w:sz w:val="28"/>
          <w:szCs w:val="28"/>
        </w:rPr>
        <w:t xml:space="preserve"> Ч</w:t>
      </w:r>
      <w:proofErr w:type="gramEnd"/>
      <w:r>
        <w:rPr>
          <w:kern w:val="36"/>
          <w:sz w:val="28"/>
          <w:szCs w:val="28"/>
        </w:rPr>
        <w:t xml:space="preserve">ик </w:t>
      </w:r>
      <w:proofErr w:type="spellStart"/>
      <w:r>
        <w:rPr>
          <w:kern w:val="36"/>
          <w:sz w:val="28"/>
          <w:szCs w:val="28"/>
        </w:rPr>
        <w:t>Коченевского</w:t>
      </w:r>
      <w:proofErr w:type="spellEnd"/>
      <w:r>
        <w:rPr>
          <w:kern w:val="36"/>
          <w:sz w:val="28"/>
          <w:szCs w:val="28"/>
        </w:rPr>
        <w:t xml:space="preserve"> района Новосибирской области</w:t>
      </w:r>
    </w:p>
    <w:p w:rsidR="00237962" w:rsidRDefault="00237962" w:rsidP="00237962">
      <w:pPr>
        <w:pStyle w:val="a3"/>
        <w:jc w:val="both"/>
      </w:pPr>
    </w:p>
    <w:p w:rsidR="00237962" w:rsidRDefault="00237962" w:rsidP="0023796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Настоящее Положение устанавливает правила и определяет показатели осуществления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органами местного самоуправления </w:t>
      </w:r>
      <w:r>
        <w:rPr>
          <w:kern w:val="36"/>
          <w:sz w:val="28"/>
          <w:szCs w:val="28"/>
        </w:rPr>
        <w:t>рабочего поселка</w:t>
      </w:r>
      <w:proofErr w:type="gramStart"/>
      <w:r>
        <w:rPr>
          <w:kern w:val="36"/>
          <w:sz w:val="28"/>
          <w:szCs w:val="28"/>
        </w:rPr>
        <w:t xml:space="preserve"> Ч</w:t>
      </w:r>
      <w:proofErr w:type="gramEnd"/>
      <w:r>
        <w:rPr>
          <w:kern w:val="36"/>
          <w:sz w:val="28"/>
          <w:szCs w:val="28"/>
        </w:rPr>
        <w:t xml:space="preserve">ик </w:t>
      </w:r>
      <w:proofErr w:type="spellStart"/>
      <w:r>
        <w:rPr>
          <w:kern w:val="36"/>
          <w:sz w:val="28"/>
          <w:szCs w:val="28"/>
        </w:rPr>
        <w:t>Коченевского</w:t>
      </w:r>
      <w:proofErr w:type="spellEnd"/>
      <w:r>
        <w:rPr>
          <w:kern w:val="36"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настоящим Положением проводятся текущий и оперативный виды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Текущий мониторинг осуществляется на регулярной основе в отношении отрасли (</w:t>
      </w:r>
      <w:proofErr w:type="spellStart"/>
      <w:r>
        <w:rPr>
          <w:sz w:val="28"/>
          <w:szCs w:val="28"/>
        </w:rPr>
        <w:t>подотрасли</w:t>
      </w:r>
      <w:proofErr w:type="spellEnd"/>
      <w:r>
        <w:rPr>
          <w:sz w:val="28"/>
          <w:szCs w:val="28"/>
        </w:rPr>
        <w:t>) законодательства и группы нормативных правовых актов.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мониторинг осуществляется в течение первого года действия муниципальных нормативных правовых актов, выполнения решений Конституционного Суда Российской Федерации.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включает в себя сбор, обобщение, анализ и оценку практики применения: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нормативных правовых актов представительного органа местного самоуправления;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нормативных правовых актов исполнительного органа местного самоуправления.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осуществлении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используется: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практика судов общей юрисдикции и арбитражных судов;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bookmarkStart w:id="1" w:name="Par47"/>
      <w:bookmarkEnd w:id="1"/>
      <w:proofErr w:type="gramStart"/>
      <w:r>
        <w:rPr>
          <w:sz w:val="28"/>
          <w:szCs w:val="28"/>
        </w:rPr>
        <w:t>в) информация о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информация, поступившая из общественных, научных, правозащитных и иных организаций;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информация, почерпнутая из средств массовой информации;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информация, поступившая от граждан;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ж) информация, поступившая из иных источников.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осуществлении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для обеспечения принятия (издания), изменения или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показателям: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несоблюдение гарантированных прав, свобод и законных интересов человека и гражданина;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наличие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несоблюдение пределов компетенции органа местного самоуправления при издании нормативного правового акта;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искажение смысла положений федерального закона и (или) актов Президента Российской Федерации, Правительства Российской Федерации, а также решений Конституционного Суда Российской Федерации и постановлений Европейского Суда по правам человека при принятии нормативного правового акта;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наличие в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неполнота в правовом регулировании общественных отношений;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коллизия норм права;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 наличие ошибок юридик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технического характера;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использование положений нормативных правовых актов в качестве оснований совершения юридически значимых действий;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к) искажение смысла положений нормативного правового акта при его применении;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л) неправомерные или необоснованные решения, действия (бездействие) при применении нормативного правового акта;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м) использование норм, позволяющих расширительно толковать компетенцию органов местного самоуправления;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н) наличие (отсутствие) единообразной практики применения нормативных правовых актов;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о) количество и содержание заявлений по вопросам разъяснения нормативного правового акта;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р) 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реализации антикоррупционной политики и устранения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осуществлении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для обеспечения принятия (издания), изменения или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(отмены) муниципальных нормативных правовых обобщается, анализируется и оценивается информация о практике их применения по следующим показателям: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несоблюдение пределов компетенции органа местного самоуправления при издании нормативного правового акта;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неправомерные или необоснованные решения, действия (бездействие) при применении нормативного правового акта;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наличие в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наиболее часто встречающиеся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нормативных правовых актах;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количество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выявленных в нормативном правовом акте при проведении антикоррупционной экспертизы уполномоченным органом;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количество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выявленных в нормативном правовом акте при проведении антикоррупционной экспертизы независимыми экспертами;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сроки приведения нормативных правовых актов в соответствие с антикоррупционным законодательством Российской Федерации;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целях устранения противоречий между нормативными правовыми актами равной юридической силы при осуществлении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для обеспечения принятия (издания), изменения или признания утратившими силу (отмены) нормативных правовых актов органов местного самоуправления обобщается, анализируется и оценивается информация о практике их применения по следующим показателям: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наличие противоречий между нормативными правовыми актами общего характера и нормативными правовыми актами специального характера, регулирующими однородные отношения;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наличие единой понятийн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терминологической системы в нормативных правовых актах;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наличие дублирующих норм права в нормативных правовых актах;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наличие противоречий в нормативных правовых актах, регулирующих однородные отношения, принятых в разные периоды;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наличие ошибок юридико-технического характера в нормативных правовых актах;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актов, наличия в них дублирующих норм и противоречий, а также ошибок юридик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технического характера.</w:t>
      </w:r>
    </w:p>
    <w:p w:rsidR="00237962" w:rsidRDefault="00237962" w:rsidP="002379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необходимости 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может быть осуществлен по дополнительным показателям, определяемым федеральными органами исполнительной власти и органами государственной власти субъектов Российской Федерации.</w:t>
      </w:r>
    </w:p>
    <w:p w:rsidR="00AC0500" w:rsidRDefault="00AC0500"/>
    <w:sectPr w:rsidR="00AC0500" w:rsidSect="0023796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F9"/>
    <w:rsid w:val="001D7EF9"/>
    <w:rsid w:val="00237962"/>
    <w:rsid w:val="00A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7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7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2015-11-05T10:11:00Z</dcterms:created>
  <dcterms:modified xsi:type="dcterms:W3CDTF">2015-11-05T10:12:00Z</dcterms:modified>
</cp:coreProperties>
</file>